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79" w:rsidRPr="00800ECB" w:rsidRDefault="00B921A7" w:rsidP="00C94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CB">
        <w:rPr>
          <w:rFonts w:ascii="Times New Roman" w:hAnsi="Times New Roman" w:cs="Times New Roman"/>
          <w:b/>
          <w:sz w:val="24"/>
          <w:szCs w:val="24"/>
        </w:rPr>
        <w:t>Planning Fram</w:t>
      </w:r>
      <w:r w:rsidR="002F1D6A">
        <w:rPr>
          <w:rFonts w:ascii="Times New Roman" w:hAnsi="Times New Roman" w:cs="Times New Roman"/>
          <w:b/>
          <w:sz w:val="24"/>
          <w:szCs w:val="24"/>
        </w:rPr>
        <w:t>ework Development for a Triple T</w:t>
      </w:r>
      <w:r w:rsidRPr="00800ECB">
        <w:rPr>
          <w:rFonts w:ascii="Times New Roman" w:hAnsi="Times New Roman" w:cs="Times New Roman"/>
          <w:b/>
          <w:sz w:val="24"/>
          <w:szCs w:val="24"/>
        </w:rPr>
        <w:t>hreat to the Power Grid</w:t>
      </w:r>
    </w:p>
    <w:p w:rsidR="00B921A7" w:rsidRPr="00800ECB" w:rsidRDefault="002F1D6A" w:rsidP="00705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3, 2015    ---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Read</w:t>
      </w:r>
      <w:r w:rsidR="00B921A7" w:rsidRPr="00800ECB">
        <w:rPr>
          <w:rFonts w:ascii="Times New Roman" w:hAnsi="Times New Roman" w:cs="Times New Roman"/>
          <w:b/>
          <w:sz w:val="24"/>
          <w:szCs w:val="24"/>
        </w:rPr>
        <w:t xml:space="preserve"> Ahead Material</w:t>
      </w:r>
    </w:p>
    <w:p w:rsidR="00E444F9" w:rsidRPr="00800ECB" w:rsidRDefault="00052A65" w:rsidP="00B921A7">
      <w:pPr>
        <w:rPr>
          <w:rFonts w:ascii="Times New Roman" w:hAnsi="Times New Roman" w:cs="Times New Roman"/>
          <w:sz w:val="24"/>
          <w:szCs w:val="24"/>
        </w:rPr>
      </w:pPr>
      <w:r w:rsidRPr="00800ECB">
        <w:rPr>
          <w:rFonts w:ascii="Times New Roman" w:hAnsi="Times New Roman" w:cs="Times New Roman"/>
          <w:sz w:val="24"/>
          <w:szCs w:val="24"/>
        </w:rPr>
        <w:t>We start with the premise that there is a reality of high impact threats to the US electrical grid</w:t>
      </w:r>
      <w:r w:rsidR="008C2C3B" w:rsidRPr="00800ECB">
        <w:rPr>
          <w:rFonts w:ascii="Times New Roman" w:hAnsi="Times New Roman" w:cs="Times New Roman"/>
          <w:sz w:val="24"/>
          <w:szCs w:val="24"/>
        </w:rPr>
        <w:t xml:space="preserve"> </w:t>
      </w:r>
      <w:r w:rsidR="00100B16">
        <w:rPr>
          <w:rFonts w:ascii="Times New Roman" w:hAnsi="Times New Roman" w:cs="Times New Roman"/>
          <w:sz w:val="24"/>
          <w:szCs w:val="24"/>
        </w:rPr>
        <w:t>by cyber,</w:t>
      </w:r>
      <w:r w:rsidRPr="00800ECB">
        <w:rPr>
          <w:rFonts w:ascii="Times New Roman" w:hAnsi="Times New Roman" w:cs="Times New Roman"/>
          <w:sz w:val="24"/>
          <w:szCs w:val="24"/>
        </w:rPr>
        <w:t xml:space="preserve"> terrorist attacks, or solar storms w</w:t>
      </w:r>
      <w:r w:rsidR="00777B09">
        <w:rPr>
          <w:rFonts w:ascii="Times New Roman" w:hAnsi="Times New Roman" w:cs="Times New Roman"/>
          <w:sz w:val="24"/>
          <w:szCs w:val="24"/>
        </w:rPr>
        <w:t>ith little or no notification taking</w:t>
      </w:r>
      <w:r w:rsidR="00B75B76">
        <w:rPr>
          <w:rFonts w:ascii="Times New Roman" w:hAnsi="Times New Roman" w:cs="Times New Roman"/>
          <w:sz w:val="24"/>
          <w:szCs w:val="24"/>
        </w:rPr>
        <w:t xml:space="preserve"> out critical infrastructure, (either regional</w:t>
      </w:r>
      <w:r w:rsidR="00100B16">
        <w:rPr>
          <w:rFonts w:ascii="Times New Roman" w:hAnsi="Times New Roman" w:cs="Times New Roman"/>
          <w:sz w:val="24"/>
          <w:szCs w:val="24"/>
        </w:rPr>
        <w:t xml:space="preserve"> or entire US) for weeks,</w:t>
      </w:r>
      <w:r w:rsidR="00B75B76">
        <w:rPr>
          <w:rFonts w:ascii="Times New Roman" w:hAnsi="Times New Roman" w:cs="Times New Roman"/>
          <w:sz w:val="24"/>
          <w:szCs w:val="24"/>
        </w:rPr>
        <w:t xml:space="preserve"> months</w:t>
      </w:r>
      <w:r w:rsidR="00100B16">
        <w:rPr>
          <w:rFonts w:ascii="Times New Roman" w:hAnsi="Times New Roman" w:cs="Times New Roman"/>
          <w:sz w:val="24"/>
          <w:szCs w:val="24"/>
        </w:rPr>
        <w:t xml:space="preserve"> or even years</w:t>
      </w:r>
      <w:r w:rsidR="00B75B76">
        <w:rPr>
          <w:rFonts w:ascii="Times New Roman" w:hAnsi="Times New Roman" w:cs="Times New Roman"/>
          <w:sz w:val="24"/>
          <w:szCs w:val="24"/>
        </w:rPr>
        <w:t xml:space="preserve">.  </w:t>
      </w:r>
      <w:r w:rsidRPr="00800ECB">
        <w:rPr>
          <w:rFonts w:ascii="Times New Roman" w:hAnsi="Times New Roman" w:cs="Times New Roman"/>
          <w:sz w:val="24"/>
          <w:szCs w:val="24"/>
        </w:rPr>
        <w:t xml:space="preserve">Participants’ expertise, insight, and suggestions will help plan </w:t>
      </w:r>
      <w:r w:rsidR="00777B09">
        <w:rPr>
          <w:rFonts w:ascii="Times New Roman" w:hAnsi="Times New Roman" w:cs="Times New Roman"/>
          <w:sz w:val="24"/>
          <w:szCs w:val="24"/>
        </w:rPr>
        <w:t xml:space="preserve">for this catastrophic event </w:t>
      </w:r>
      <w:r w:rsidRPr="00800ECB">
        <w:rPr>
          <w:rFonts w:ascii="Times New Roman" w:hAnsi="Times New Roman" w:cs="Times New Roman"/>
          <w:sz w:val="24"/>
          <w:szCs w:val="24"/>
        </w:rPr>
        <w:t>by deve</w:t>
      </w:r>
      <w:r w:rsidR="00E444F9" w:rsidRPr="00800ECB">
        <w:rPr>
          <w:rFonts w:ascii="Times New Roman" w:hAnsi="Times New Roman" w:cs="Times New Roman"/>
          <w:sz w:val="24"/>
          <w:szCs w:val="24"/>
        </w:rPr>
        <w:t xml:space="preserve">loping a </w:t>
      </w:r>
      <w:r w:rsidR="00100B16">
        <w:rPr>
          <w:rFonts w:ascii="Times New Roman" w:hAnsi="Times New Roman" w:cs="Times New Roman"/>
          <w:sz w:val="24"/>
          <w:szCs w:val="24"/>
        </w:rPr>
        <w:t xml:space="preserve">planning </w:t>
      </w:r>
      <w:r w:rsidR="00E444F9" w:rsidRPr="00800ECB">
        <w:rPr>
          <w:rFonts w:ascii="Times New Roman" w:hAnsi="Times New Roman" w:cs="Times New Roman"/>
          <w:sz w:val="24"/>
          <w:szCs w:val="24"/>
        </w:rPr>
        <w:t>framework</w:t>
      </w:r>
      <w:r w:rsidR="00100B16">
        <w:rPr>
          <w:rFonts w:ascii="Times New Roman" w:hAnsi="Times New Roman" w:cs="Times New Roman"/>
          <w:sz w:val="24"/>
          <w:szCs w:val="24"/>
        </w:rPr>
        <w:t xml:space="preserve"> or cookbook</w:t>
      </w:r>
      <w:r w:rsidR="00E444F9" w:rsidRPr="00800ECB">
        <w:rPr>
          <w:rFonts w:ascii="Times New Roman" w:hAnsi="Times New Roman" w:cs="Times New Roman"/>
          <w:sz w:val="24"/>
          <w:szCs w:val="24"/>
        </w:rPr>
        <w:t>, identifying key plan elements, creating action lists, determining priorities, raising issues, asking questions and considering gaps</w:t>
      </w:r>
      <w:r w:rsidR="00100B16">
        <w:rPr>
          <w:rFonts w:ascii="Times New Roman" w:hAnsi="Times New Roman" w:cs="Times New Roman"/>
          <w:sz w:val="24"/>
          <w:szCs w:val="24"/>
        </w:rPr>
        <w:t xml:space="preserve"> that should be consider</w:t>
      </w:r>
      <w:r w:rsidR="00C13A2D">
        <w:rPr>
          <w:rFonts w:ascii="Times New Roman" w:hAnsi="Times New Roman" w:cs="Times New Roman"/>
          <w:sz w:val="24"/>
          <w:szCs w:val="24"/>
        </w:rPr>
        <w:t>e</w:t>
      </w:r>
      <w:r w:rsidR="00100B16">
        <w:rPr>
          <w:rFonts w:ascii="Times New Roman" w:hAnsi="Times New Roman" w:cs="Times New Roman"/>
          <w:sz w:val="24"/>
          <w:szCs w:val="24"/>
        </w:rPr>
        <w:t>d when creating a plan of this magnitude</w:t>
      </w:r>
      <w:r w:rsidR="00E444F9" w:rsidRPr="00800ECB">
        <w:rPr>
          <w:rFonts w:ascii="Times New Roman" w:hAnsi="Times New Roman" w:cs="Times New Roman"/>
          <w:sz w:val="24"/>
          <w:szCs w:val="24"/>
        </w:rPr>
        <w:t xml:space="preserve">. </w:t>
      </w:r>
      <w:r w:rsidRPr="00800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3B" w:rsidRPr="00800ECB" w:rsidRDefault="009A347F" w:rsidP="00B921A7">
      <w:pPr>
        <w:rPr>
          <w:rFonts w:ascii="Times New Roman" w:eastAsia="Times New Roman" w:hAnsi="Times New Roman" w:cs="Times New Roman"/>
          <w:sz w:val="24"/>
          <w:szCs w:val="24"/>
        </w:rPr>
      </w:pPr>
      <w:r w:rsidRPr="00800ECB">
        <w:rPr>
          <w:rFonts w:ascii="Times New Roman" w:hAnsi="Times New Roman" w:cs="Times New Roman"/>
          <w:sz w:val="24"/>
          <w:szCs w:val="24"/>
        </w:rPr>
        <w:t>Department of Homeland Security documents advise the American public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to have food and water for</w:t>
      </w:r>
      <w:r w:rsidRPr="00800ECB">
        <w:rPr>
          <w:rFonts w:ascii="Times New Roman" w:hAnsi="Times New Roman" w:cs="Times New Roman"/>
          <w:sz w:val="24"/>
          <w:szCs w:val="24"/>
        </w:rPr>
        <w:t xml:space="preserve"> at least</w:t>
      </w:r>
      <w:r w:rsidR="00E56871" w:rsidRPr="00800ECB">
        <w:rPr>
          <w:rFonts w:ascii="Times New Roman" w:hAnsi="Times New Roman" w:cs="Times New Roman"/>
          <w:sz w:val="24"/>
          <w:szCs w:val="24"/>
        </w:rPr>
        <w:t xml:space="preserve"> three days.  </w:t>
      </w:r>
      <w:r w:rsidR="00100B16">
        <w:rPr>
          <w:rFonts w:ascii="Times New Roman" w:hAnsi="Times New Roman" w:cs="Times New Roman"/>
          <w:sz w:val="24"/>
          <w:szCs w:val="24"/>
        </w:rPr>
        <w:t>As useful as that is for a starting point, if high-impact events are not considered then m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any </w:t>
      </w:r>
      <w:r w:rsidR="00100B16">
        <w:rPr>
          <w:rFonts w:ascii="Times New Roman" w:hAnsi="Times New Roman" w:cs="Times New Roman"/>
          <w:sz w:val="24"/>
          <w:szCs w:val="24"/>
        </w:rPr>
        <w:t>who assume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that the Government will provide support </w:t>
      </w:r>
      <w:r w:rsidR="00906334">
        <w:rPr>
          <w:rFonts w:ascii="Times New Roman" w:hAnsi="Times New Roman" w:cs="Times New Roman"/>
          <w:sz w:val="24"/>
          <w:szCs w:val="24"/>
        </w:rPr>
        <w:t>as soon as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day four, </w:t>
      </w:r>
      <w:r w:rsidR="00100B16">
        <w:rPr>
          <w:rFonts w:ascii="Times New Roman" w:hAnsi="Times New Roman" w:cs="Times New Roman"/>
          <w:sz w:val="24"/>
          <w:szCs w:val="24"/>
        </w:rPr>
        <w:t>may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think </w:t>
      </w:r>
      <w:r w:rsidR="00100B16">
        <w:rPr>
          <w:rFonts w:ascii="Times New Roman" w:hAnsi="Times New Roman" w:cs="Times New Roman"/>
          <w:sz w:val="24"/>
          <w:szCs w:val="24"/>
        </w:rPr>
        <w:t xml:space="preserve">that 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they </w:t>
      </w:r>
      <w:r w:rsidR="00100B16">
        <w:rPr>
          <w:rFonts w:ascii="Times New Roman" w:hAnsi="Times New Roman" w:cs="Times New Roman"/>
          <w:sz w:val="24"/>
          <w:szCs w:val="24"/>
        </w:rPr>
        <w:t xml:space="preserve">don’t 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need to plan at all.  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>However, in the</w:t>
      </w:r>
      <w:r w:rsidR="00E56871" w:rsidRPr="00800ECB">
        <w:rPr>
          <w:rFonts w:ascii="Times New Roman" w:eastAsia="Times New Roman" w:hAnsi="Times New Roman" w:cs="Times New Roman"/>
          <w:sz w:val="24"/>
          <w:szCs w:val="24"/>
        </w:rPr>
        <w:t xml:space="preserve"> event where critical infrastructures are down for a much longer duration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6871" w:rsidRPr="00800ECB">
        <w:rPr>
          <w:rFonts w:ascii="Times New Roman" w:eastAsia="Times New Roman" w:hAnsi="Times New Roman" w:cs="Times New Roman"/>
          <w:sz w:val="24"/>
          <w:szCs w:val="24"/>
        </w:rPr>
        <w:t xml:space="preserve"> due to a widespread failure of electric power, sufficient relief, even from government, will not be available.</w:t>
      </w:r>
      <w:r w:rsidR="00C94926" w:rsidRPr="00800EC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00ECB">
        <w:rPr>
          <w:rFonts w:ascii="Times New Roman" w:hAnsi="Times New Roman" w:cs="Times New Roman"/>
          <w:sz w:val="24"/>
          <w:szCs w:val="24"/>
        </w:rPr>
        <w:t xml:space="preserve"> </w:t>
      </w:r>
      <w:r w:rsidR="00B75B76" w:rsidRPr="00800ECB">
        <w:rPr>
          <w:rFonts w:ascii="Times New Roman" w:eastAsia="Times New Roman" w:hAnsi="Times New Roman" w:cs="Times New Roman"/>
          <w:sz w:val="24"/>
          <w:szCs w:val="24"/>
        </w:rPr>
        <w:t xml:space="preserve">Depending on </w:t>
      </w:r>
      <w:r w:rsidR="00100B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75B76" w:rsidRPr="00800ECB">
        <w:rPr>
          <w:rFonts w:ascii="Times New Roman" w:eastAsia="Times New Roman" w:hAnsi="Times New Roman" w:cs="Times New Roman"/>
          <w:sz w:val="24"/>
          <w:szCs w:val="24"/>
        </w:rPr>
        <w:t>length of the infrastructure failure, conseq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>uences for unprepared citizens c</w:t>
      </w:r>
      <w:r w:rsidR="00B75B76" w:rsidRPr="00800ECB"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 w:rsidR="00100B16">
        <w:rPr>
          <w:rFonts w:ascii="Times New Roman" w:eastAsia="Times New Roman" w:hAnsi="Times New Roman" w:cs="Times New Roman"/>
          <w:sz w:val="24"/>
          <w:szCs w:val="24"/>
        </w:rPr>
        <w:t xml:space="preserve">go beyond economic loss to </w:t>
      </w:r>
      <w:r w:rsidR="00B75B76" w:rsidRPr="00800ECB">
        <w:rPr>
          <w:rFonts w:ascii="Times New Roman" w:eastAsia="Times New Roman" w:hAnsi="Times New Roman" w:cs="Times New Roman"/>
          <w:sz w:val="24"/>
          <w:szCs w:val="24"/>
        </w:rPr>
        <w:t>include sickness, and death from dehydration, dis</w:t>
      </w:r>
      <w:r w:rsidR="00B75B76">
        <w:rPr>
          <w:rFonts w:ascii="Times New Roman" w:eastAsia="Times New Roman" w:hAnsi="Times New Roman" w:cs="Times New Roman"/>
          <w:sz w:val="24"/>
          <w:szCs w:val="24"/>
        </w:rPr>
        <w:t xml:space="preserve">ease, exposure, </w:t>
      </w:r>
      <w:r w:rsidR="00100B16" w:rsidRPr="00800ECB">
        <w:rPr>
          <w:rFonts w:ascii="Times New Roman" w:eastAsia="Times New Roman" w:hAnsi="Times New Roman" w:cs="Times New Roman"/>
          <w:sz w:val="24"/>
          <w:szCs w:val="24"/>
        </w:rPr>
        <w:t xml:space="preserve">starvation, </w:t>
      </w:r>
      <w:r w:rsidR="00B75B76">
        <w:rPr>
          <w:rFonts w:ascii="Times New Roman" w:eastAsia="Times New Roman" w:hAnsi="Times New Roman" w:cs="Times New Roman"/>
          <w:sz w:val="24"/>
          <w:szCs w:val="24"/>
        </w:rPr>
        <w:t xml:space="preserve">fire and civil unrest. </w:t>
      </w:r>
      <w:r w:rsidR="008C2C3B" w:rsidRPr="00800ECB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>Consequences for the nation c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>ould include loss of coherent central government</w:t>
      </w:r>
      <w:r w:rsidR="00100B16">
        <w:rPr>
          <w:rFonts w:ascii="Times New Roman" w:eastAsia="Times New Roman" w:hAnsi="Times New Roman" w:cs="Times New Roman"/>
          <w:sz w:val="24"/>
          <w:szCs w:val="24"/>
        </w:rPr>
        <w:t xml:space="preserve"> and possible loss of sovereignty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>These are unacceptable risks, meaning that planning for this type of catastrophe needs to sta</w:t>
      </w:r>
      <w:r w:rsidR="00E56871" w:rsidRPr="00800ECB">
        <w:rPr>
          <w:rFonts w:ascii="Times New Roman" w:eastAsia="Times New Roman" w:hAnsi="Times New Roman" w:cs="Times New Roman"/>
          <w:sz w:val="24"/>
          <w:szCs w:val="24"/>
        </w:rPr>
        <w:t>rt now and continue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 xml:space="preserve">.  One aspect 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>of a succ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 xml:space="preserve">essful planning effort would result in 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 xml:space="preserve">prepared individuals and communities </w:t>
      </w:r>
      <w:r w:rsidR="00C13A2D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 xml:space="preserve"> could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 xml:space="preserve"> survive long-term infrastructure </w:t>
      </w:r>
      <w:proofErr w:type="gramStart"/>
      <w:r w:rsidR="00D2779A">
        <w:rPr>
          <w:rFonts w:ascii="Times New Roman" w:eastAsia="Times New Roman" w:hAnsi="Times New Roman" w:cs="Times New Roman"/>
          <w:sz w:val="24"/>
          <w:szCs w:val="24"/>
        </w:rPr>
        <w:t>failure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B16">
        <w:rPr>
          <w:rFonts w:ascii="Times New Roman" w:eastAsia="Times New Roman" w:hAnsi="Times New Roman" w:cs="Times New Roman"/>
          <w:sz w:val="24"/>
          <w:szCs w:val="24"/>
        </w:rPr>
        <w:t xml:space="preserve">help their neighbors </w:t>
      </w:r>
      <w:r w:rsidR="00906334">
        <w:rPr>
          <w:rFonts w:ascii="Times New Roman" w:eastAsia="Times New Roman" w:hAnsi="Times New Roman" w:cs="Times New Roman"/>
          <w:sz w:val="24"/>
          <w:szCs w:val="24"/>
        </w:rPr>
        <w:t xml:space="preserve">and be able </w:t>
      </w:r>
      <w:r w:rsidR="00100B16">
        <w:rPr>
          <w:rFonts w:ascii="Times New Roman" w:eastAsia="Times New Roman" w:hAnsi="Times New Roman" w:cs="Times New Roman"/>
          <w:sz w:val="24"/>
          <w:szCs w:val="24"/>
        </w:rPr>
        <w:t>to rebuild both their own communities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79A">
        <w:rPr>
          <w:rFonts w:ascii="Times New Roman" w:eastAsia="Times New Roman" w:hAnsi="Times New Roman" w:cs="Times New Roman"/>
          <w:sz w:val="24"/>
          <w:szCs w:val="24"/>
        </w:rPr>
        <w:t>and the US</w:t>
      </w:r>
      <w:r w:rsidR="008C2C3B" w:rsidRPr="00800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489" w:rsidRPr="00800ECB" w:rsidRDefault="00E56871" w:rsidP="00B921A7">
      <w:pPr>
        <w:rPr>
          <w:rFonts w:ascii="Times New Roman" w:hAnsi="Times New Roman" w:cs="Times New Roman"/>
          <w:sz w:val="24"/>
          <w:szCs w:val="24"/>
        </w:rPr>
      </w:pPr>
      <w:r w:rsidRPr="00800ECB">
        <w:rPr>
          <w:rFonts w:ascii="Times New Roman" w:hAnsi="Times New Roman" w:cs="Times New Roman"/>
          <w:sz w:val="24"/>
          <w:szCs w:val="24"/>
        </w:rPr>
        <w:t>We will start the workshop by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look</w:t>
      </w:r>
      <w:r w:rsidRPr="00800ECB">
        <w:rPr>
          <w:rFonts w:ascii="Times New Roman" w:hAnsi="Times New Roman" w:cs="Times New Roman"/>
          <w:sz w:val="24"/>
          <w:szCs w:val="24"/>
        </w:rPr>
        <w:t>ing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at what</w:t>
      </w:r>
      <w:r w:rsidRPr="00800ECB">
        <w:rPr>
          <w:rFonts w:ascii="Times New Roman" w:hAnsi="Times New Roman" w:cs="Times New Roman"/>
          <w:sz w:val="24"/>
          <w:szCs w:val="24"/>
        </w:rPr>
        <w:t xml:space="preserve"> resources and facilities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might </w:t>
      </w:r>
      <w:r w:rsidRPr="00800ECB">
        <w:rPr>
          <w:rFonts w:ascii="Times New Roman" w:hAnsi="Times New Roman" w:cs="Times New Roman"/>
          <w:sz w:val="24"/>
          <w:szCs w:val="24"/>
        </w:rPr>
        <w:t>still be avai</w:t>
      </w:r>
      <w:r w:rsidR="00906334">
        <w:rPr>
          <w:rFonts w:ascii="Times New Roman" w:hAnsi="Times New Roman" w:cs="Times New Roman"/>
          <w:sz w:val="24"/>
          <w:szCs w:val="24"/>
        </w:rPr>
        <w:t>lable after a catastrophe,</w:t>
      </w:r>
      <w:r w:rsidRPr="00800ECB">
        <w:rPr>
          <w:rFonts w:ascii="Times New Roman" w:hAnsi="Times New Roman" w:cs="Times New Roman"/>
          <w:sz w:val="24"/>
          <w:szCs w:val="24"/>
        </w:rPr>
        <w:t xml:space="preserve"> and then </w:t>
      </w:r>
      <w:r w:rsidR="00100B16">
        <w:rPr>
          <w:rFonts w:ascii="Times New Roman" w:hAnsi="Times New Roman" w:cs="Times New Roman"/>
          <w:sz w:val="24"/>
          <w:szCs w:val="24"/>
        </w:rPr>
        <w:t>consider</w:t>
      </w:r>
      <w:r w:rsidRPr="00800ECB">
        <w:rPr>
          <w:rFonts w:ascii="Times New Roman" w:hAnsi="Times New Roman" w:cs="Times New Roman"/>
          <w:sz w:val="24"/>
          <w:szCs w:val="24"/>
        </w:rPr>
        <w:t xml:space="preserve"> planning </w:t>
      </w:r>
      <w:r w:rsidR="00100B16">
        <w:rPr>
          <w:rFonts w:ascii="Times New Roman" w:hAnsi="Times New Roman" w:cs="Times New Roman"/>
          <w:sz w:val="24"/>
          <w:szCs w:val="24"/>
        </w:rPr>
        <w:t xml:space="preserve">issues </w:t>
      </w:r>
      <w:r w:rsidRPr="00800ECB">
        <w:rPr>
          <w:rFonts w:ascii="Times New Roman" w:hAnsi="Times New Roman" w:cs="Times New Roman"/>
          <w:sz w:val="24"/>
          <w:szCs w:val="24"/>
        </w:rPr>
        <w:t xml:space="preserve">by </w:t>
      </w:r>
      <w:r w:rsidR="00854087" w:rsidRPr="00800ECB">
        <w:rPr>
          <w:rFonts w:ascii="Times New Roman" w:hAnsi="Times New Roman" w:cs="Times New Roman"/>
          <w:sz w:val="24"/>
          <w:szCs w:val="24"/>
        </w:rPr>
        <w:t xml:space="preserve">brainstorming </w:t>
      </w:r>
      <w:r w:rsidRPr="00800ECB">
        <w:rPr>
          <w:rFonts w:ascii="Times New Roman" w:hAnsi="Times New Roman" w:cs="Times New Roman"/>
          <w:sz w:val="24"/>
          <w:szCs w:val="24"/>
        </w:rPr>
        <w:t>using a set of questions.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 Ideally, the planning on that day will be a “kickoff” for planning in different Reg</w:t>
      </w:r>
      <w:r w:rsidRPr="00800ECB">
        <w:rPr>
          <w:rFonts w:ascii="Times New Roman" w:hAnsi="Times New Roman" w:cs="Times New Roman"/>
          <w:sz w:val="24"/>
          <w:szCs w:val="24"/>
        </w:rPr>
        <w:t>ions during 2016</w:t>
      </w:r>
      <w:r w:rsidR="00906334">
        <w:rPr>
          <w:rFonts w:ascii="Times New Roman" w:hAnsi="Times New Roman" w:cs="Times New Roman"/>
          <w:sz w:val="24"/>
          <w:szCs w:val="24"/>
        </w:rPr>
        <w:t>, and get ready to</w:t>
      </w:r>
      <w:r w:rsidR="00B921A7" w:rsidRPr="00800ECB">
        <w:rPr>
          <w:rFonts w:ascii="Times New Roman" w:hAnsi="Times New Roman" w:cs="Times New Roman"/>
          <w:sz w:val="24"/>
          <w:szCs w:val="24"/>
        </w:rPr>
        <w:t xml:space="preserve"> come back in December 2016 with </w:t>
      </w:r>
      <w:r w:rsidRPr="00800ECB">
        <w:rPr>
          <w:rFonts w:ascii="Times New Roman" w:hAnsi="Times New Roman" w:cs="Times New Roman"/>
          <w:sz w:val="24"/>
          <w:szCs w:val="24"/>
        </w:rPr>
        <w:t>an update from</w:t>
      </w:r>
      <w:r w:rsidR="00705489" w:rsidRPr="00800ECB">
        <w:rPr>
          <w:rFonts w:ascii="Times New Roman" w:hAnsi="Times New Roman" w:cs="Times New Roman"/>
          <w:sz w:val="24"/>
          <w:szCs w:val="24"/>
        </w:rPr>
        <w:t xml:space="preserve"> the yearlong planning.   </w:t>
      </w:r>
      <w:r w:rsidR="000A5AC0" w:rsidRPr="00800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89" w:rsidRPr="00800ECB" w:rsidRDefault="00DB24C6" w:rsidP="00B921A7">
      <w:pPr>
        <w:rPr>
          <w:rFonts w:ascii="Times New Roman" w:hAnsi="Times New Roman" w:cs="Times New Roman"/>
          <w:sz w:val="24"/>
          <w:szCs w:val="24"/>
        </w:rPr>
      </w:pPr>
      <w:r w:rsidRPr="00800ECB">
        <w:rPr>
          <w:rFonts w:ascii="Times New Roman" w:hAnsi="Times New Roman" w:cs="Times New Roman"/>
          <w:sz w:val="24"/>
          <w:szCs w:val="24"/>
        </w:rPr>
        <w:t>To facilitate</w:t>
      </w:r>
      <w:r w:rsidR="00705489" w:rsidRPr="00800ECB">
        <w:rPr>
          <w:rFonts w:ascii="Times New Roman" w:hAnsi="Times New Roman" w:cs="Times New Roman"/>
          <w:sz w:val="24"/>
          <w:szCs w:val="24"/>
        </w:rPr>
        <w:t xml:space="preserve"> planning on December 3, we will use a</w:t>
      </w:r>
      <w:r w:rsidR="005B3C26" w:rsidRPr="00800ECB">
        <w:rPr>
          <w:rFonts w:ascii="Times New Roman" w:hAnsi="Times New Roman" w:cs="Times New Roman"/>
          <w:sz w:val="24"/>
          <w:szCs w:val="24"/>
        </w:rPr>
        <w:t xml:space="preserve"> simple F</w:t>
      </w:r>
      <w:r w:rsidR="002D15DA" w:rsidRPr="00800ECB">
        <w:rPr>
          <w:rFonts w:ascii="Times New Roman" w:hAnsi="Times New Roman" w:cs="Times New Roman"/>
          <w:sz w:val="24"/>
          <w:szCs w:val="24"/>
        </w:rPr>
        <w:t>ramework or</w:t>
      </w:r>
      <w:r w:rsidRPr="00800ECB">
        <w:rPr>
          <w:rFonts w:ascii="Times New Roman" w:hAnsi="Times New Roman" w:cs="Times New Roman"/>
          <w:sz w:val="24"/>
          <w:szCs w:val="24"/>
        </w:rPr>
        <w:t xml:space="preserve"> Phases document.  This document is shown on the next page.</w:t>
      </w:r>
      <w:r w:rsidR="00705489" w:rsidRPr="00800ECB">
        <w:rPr>
          <w:rFonts w:ascii="Times New Roman" w:hAnsi="Times New Roman" w:cs="Times New Roman"/>
          <w:sz w:val="24"/>
          <w:szCs w:val="24"/>
        </w:rPr>
        <w:t xml:space="preserve"> </w:t>
      </w:r>
      <w:r w:rsidR="002D15DA" w:rsidRPr="00800ECB">
        <w:rPr>
          <w:rFonts w:ascii="Times New Roman" w:hAnsi="Times New Roman" w:cs="Times New Roman"/>
          <w:sz w:val="24"/>
          <w:szCs w:val="24"/>
        </w:rPr>
        <w:t xml:space="preserve"> You will be asked to share your ex</w:t>
      </w:r>
      <w:r w:rsidR="00906334">
        <w:rPr>
          <w:rFonts w:ascii="Times New Roman" w:hAnsi="Times New Roman" w:cs="Times New Roman"/>
          <w:sz w:val="24"/>
          <w:szCs w:val="24"/>
        </w:rPr>
        <w:t>pertise and help the planning in</w:t>
      </w:r>
      <w:r w:rsidR="002D15DA" w:rsidRPr="00800ECB">
        <w:rPr>
          <w:rFonts w:ascii="Times New Roman" w:hAnsi="Times New Roman" w:cs="Times New Roman"/>
          <w:sz w:val="24"/>
          <w:szCs w:val="24"/>
        </w:rPr>
        <w:t xml:space="preserve"> one of the following areas:  Executive Branch (</w:t>
      </w:r>
      <w:r w:rsidR="00100B16">
        <w:rPr>
          <w:rFonts w:ascii="Times New Roman" w:hAnsi="Times New Roman" w:cs="Times New Roman"/>
          <w:sz w:val="24"/>
          <w:szCs w:val="24"/>
        </w:rPr>
        <w:t xml:space="preserve">focusing </w:t>
      </w:r>
      <w:r w:rsidR="002D15DA" w:rsidRPr="00800ECB">
        <w:rPr>
          <w:rFonts w:ascii="Times New Roman" w:hAnsi="Times New Roman" w:cs="Times New Roman"/>
          <w:sz w:val="24"/>
          <w:szCs w:val="24"/>
        </w:rPr>
        <w:t>at the state and local level), Legislative Branch (</w:t>
      </w:r>
      <w:r w:rsidR="00100B16">
        <w:rPr>
          <w:rFonts w:ascii="Times New Roman" w:hAnsi="Times New Roman" w:cs="Times New Roman"/>
          <w:sz w:val="24"/>
          <w:szCs w:val="24"/>
        </w:rPr>
        <w:t xml:space="preserve">focusing </w:t>
      </w:r>
      <w:r w:rsidR="002D15DA" w:rsidRPr="00800ECB">
        <w:rPr>
          <w:rFonts w:ascii="Times New Roman" w:hAnsi="Times New Roman" w:cs="Times New Roman"/>
          <w:sz w:val="24"/>
          <w:szCs w:val="24"/>
        </w:rPr>
        <w:t xml:space="preserve">at the state and local level), National Guard, Civil Disturbance, Communications, Volunteer/Community, Power (oil, gas, fuel, </w:t>
      </w:r>
      <w:proofErr w:type="gramStart"/>
      <w:r w:rsidR="002D15DA" w:rsidRPr="00800ECB">
        <w:rPr>
          <w:rFonts w:ascii="Times New Roman" w:hAnsi="Times New Roman" w:cs="Times New Roman"/>
          <w:sz w:val="24"/>
          <w:szCs w:val="24"/>
        </w:rPr>
        <w:t>micro</w:t>
      </w:r>
      <w:proofErr w:type="gramEnd"/>
      <w:r w:rsidR="002D15DA" w:rsidRPr="00800ECB">
        <w:rPr>
          <w:rFonts w:ascii="Times New Roman" w:hAnsi="Times New Roman" w:cs="Times New Roman"/>
          <w:sz w:val="24"/>
          <w:szCs w:val="24"/>
        </w:rPr>
        <w:t xml:space="preserve"> grids), Financial. </w:t>
      </w:r>
    </w:p>
    <w:p w:rsidR="00E444F9" w:rsidRPr="00800ECB" w:rsidRDefault="008D48D9" w:rsidP="00E444F9">
      <w:pPr>
        <w:rPr>
          <w:rFonts w:ascii="Times New Roman" w:eastAsia="Times New Roman" w:hAnsi="Times New Roman" w:cs="Times New Roman"/>
          <w:sz w:val="24"/>
          <w:szCs w:val="24"/>
        </w:rPr>
      </w:pPr>
      <w:r w:rsidRPr="00800ECB">
        <w:rPr>
          <w:rFonts w:ascii="Times New Roman" w:hAnsi="Times New Roman" w:cs="Times New Roman"/>
          <w:sz w:val="24"/>
          <w:szCs w:val="24"/>
        </w:rPr>
        <w:lastRenderedPageBreak/>
        <w:t>Last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 year before the Dupont Summit, we he</w:t>
      </w:r>
      <w:r w:rsidR="00B75B76">
        <w:rPr>
          <w:rFonts w:ascii="Times New Roman" w:hAnsi="Times New Roman" w:cs="Times New Roman"/>
          <w:sz w:val="24"/>
          <w:szCs w:val="24"/>
        </w:rPr>
        <w:t>ld a tabletop exercise to examine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 the Triple Threat including cyber, a solar storm and an Electromagnetic </w:t>
      </w:r>
      <w:r w:rsidR="00B75B76">
        <w:rPr>
          <w:rFonts w:ascii="Times New Roman" w:hAnsi="Times New Roman" w:cs="Times New Roman"/>
          <w:sz w:val="24"/>
          <w:szCs w:val="24"/>
        </w:rPr>
        <w:t>Pulse (EMP).  The information from that exercise will be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 available on December 3 at the Workshop and is</w:t>
      </w:r>
      <w:r w:rsidR="00B75B76">
        <w:rPr>
          <w:rFonts w:ascii="Times New Roman" w:hAnsi="Times New Roman" w:cs="Times New Roman"/>
          <w:sz w:val="24"/>
          <w:szCs w:val="24"/>
        </w:rPr>
        <w:t xml:space="preserve"> also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 </w:t>
      </w:r>
      <w:r w:rsidR="00906334">
        <w:rPr>
          <w:rFonts w:ascii="Times New Roman" w:hAnsi="Times New Roman" w:cs="Times New Roman"/>
          <w:sz w:val="24"/>
          <w:szCs w:val="24"/>
        </w:rPr>
        <w:t xml:space="preserve">now 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online </w:t>
      </w:r>
      <w:r w:rsidR="00B75B76">
        <w:rPr>
          <w:rFonts w:ascii="Times New Roman" w:hAnsi="Times New Roman" w:cs="Times New Roman"/>
          <w:sz w:val="24"/>
          <w:szCs w:val="24"/>
        </w:rPr>
        <w:t>at Amazon</w:t>
      </w:r>
      <w:r w:rsidR="00C70731" w:rsidRPr="00800EC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70731" w:rsidRPr="00800E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http://www.amazon.com/gp/aw/s/ref=mh_283155_is_s_stripbooks?ie=UTF8&amp;n=283155&amp;k=Triple+Threat+Grid+Exercise</w:t>
        </w:r>
      </w:hyperlink>
      <w:r w:rsidR="00C70731" w:rsidRPr="00800E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A5AC0" w:rsidRPr="00E444F9" w:rsidRDefault="00C94926" w:rsidP="00E444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Framework/Phase</w:t>
      </w:r>
      <w:r w:rsidR="00C105D3" w:rsidRPr="00854087">
        <w:rPr>
          <w:b/>
          <w:sz w:val="28"/>
          <w:szCs w:val="28"/>
        </w:rPr>
        <w:t xml:space="preserve"> Document </w:t>
      </w:r>
      <w:proofErr w:type="gramStart"/>
      <w:r w:rsidR="00C105D3" w:rsidRPr="00854087">
        <w:rPr>
          <w:b/>
          <w:sz w:val="28"/>
          <w:szCs w:val="28"/>
        </w:rPr>
        <w:t>For</w:t>
      </w:r>
      <w:proofErr w:type="gramEnd"/>
      <w:r w:rsidR="00C105D3" w:rsidRPr="00854087">
        <w:rPr>
          <w:b/>
          <w:sz w:val="28"/>
          <w:szCs w:val="28"/>
        </w:rPr>
        <w:t xml:space="preserve"> the Breakout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90"/>
        <w:gridCol w:w="1800"/>
        <w:gridCol w:w="1890"/>
        <w:gridCol w:w="1818"/>
      </w:tblGrid>
      <w:tr w:rsidR="000A5AC0" w:rsidTr="00C94926">
        <w:tc>
          <w:tcPr>
            <w:tcW w:w="2178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>
            <w:r>
              <w:t>Immediate situation</w:t>
            </w:r>
          </w:p>
        </w:tc>
        <w:tc>
          <w:tcPr>
            <w:tcW w:w="1800" w:type="dxa"/>
          </w:tcPr>
          <w:p w:rsidR="000A5AC0" w:rsidRDefault="000A5AC0" w:rsidP="00D2169D">
            <w:r>
              <w:t xml:space="preserve">One week </w:t>
            </w:r>
          </w:p>
        </w:tc>
        <w:tc>
          <w:tcPr>
            <w:tcW w:w="1890" w:type="dxa"/>
          </w:tcPr>
          <w:p w:rsidR="000A5AC0" w:rsidRDefault="000A5AC0" w:rsidP="00D2169D">
            <w:r>
              <w:t xml:space="preserve">Three Weeks </w:t>
            </w:r>
          </w:p>
        </w:tc>
        <w:tc>
          <w:tcPr>
            <w:tcW w:w="1818" w:type="dxa"/>
          </w:tcPr>
          <w:p w:rsidR="000A5AC0" w:rsidRDefault="00E444F9" w:rsidP="00D2169D">
            <w:r>
              <w:t>Two</w:t>
            </w:r>
            <w:r w:rsidR="000A5AC0">
              <w:t xml:space="preserve"> Months </w:t>
            </w:r>
          </w:p>
        </w:tc>
      </w:tr>
      <w:tr w:rsidR="000A5AC0" w:rsidTr="00C94926">
        <w:tc>
          <w:tcPr>
            <w:tcW w:w="2178" w:type="dxa"/>
          </w:tcPr>
          <w:p w:rsidR="000A5AC0" w:rsidRDefault="000A5AC0" w:rsidP="00D2169D">
            <w:r>
              <w:t>Situation (How will you gain awareness, intelligence, and knowledge of the problem? How will you keep track of changes both internally and externally?)</w:t>
            </w:r>
          </w:p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00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18" w:type="dxa"/>
          </w:tcPr>
          <w:p w:rsidR="000A5AC0" w:rsidRDefault="000A5AC0" w:rsidP="00D2169D"/>
        </w:tc>
      </w:tr>
      <w:tr w:rsidR="000A5AC0" w:rsidTr="00C94926">
        <w:tc>
          <w:tcPr>
            <w:tcW w:w="2178" w:type="dxa"/>
          </w:tcPr>
          <w:p w:rsidR="000A5AC0" w:rsidRDefault="00E444F9" w:rsidP="00D2169D">
            <w:r>
              <w:t xml:space="preserve">Mission (what </w:t>
            </w:r>
            <w:proofErr w:type="gramStart"/>
            <w:r>
              <w:t xml:space="preserve">defines </w:t>
            </w:r>
            <w:r w:rsidR="000A5AC0">
              <w:t xml:space="preserve"> success</w:t>
            </w:r>
            <w:proofErr w:type="gramEnd"/>
            <w:r w:rsidR="00800ECB">
              <w:t>? What is</w:t>
            </w:r>
            <w:r w:rsidR="000A5AC0">
              <w:t xml:space="preserve"> the </w:t>
            </w:r>
            <w:proofErr w:type="gramStart"/>
            <w:r w:rsidR="000A5AC0">
              <w:t>goal.</w:t>
            </w:r>
            <w:proofErr w:type="gramEnd"/>
            <w:r w:rsidR="000A5AC0">
              <w:t xml:space="preserve">  What is your metric to measure success? )</w:t>
            </w:r>
          </w:p>
          <w:p w:rsidR="000A5AC0" w:rsidRDefault="000A5AC0" w:rsidP="00D2169D">
            <w:r>
              <w:t xml:space="preserve"> </w:t>
            </w:r>
          </w:p>
        </w:tc>
        <w:tc>
          <w:tcPr>
            <w:tcW w:w="1890" w:type="dxa"/>
          </w:tcPr>
          <w:p w:rsidR="000A5AC0" w:rsidRDefault="000A5AC0" w:rsidP="00D2169D"/>
        </w:tc>
        <w:tc>
          <w:tcPr>
            <w:tcW w:w="1800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18" w:type="dxa"/>
          </w:tcPr>
          <w:p w:rsidR="000A5AC0" w:rsidRDefault="000A5AC0" w:rsidP="00D2169D"/>
        </w:tc>
      </w:tr>
      <w:tr w:rsidR="000A5AC0" w:rsidTr="00C94926">
        <w:tc>
          <w:tcPr>
            <w:tcW w:w="2178" w:type="dxa"/>
          </w:tcPr>
          <w:p w:rsidR="000A5AC0" w:rsidRDefault="000A5AC0" w:rsidP="00D2169D">
            <w:r>
              <w:t>Execution (How will you carry out the</w:t>
            </w:r>
            <w:r w:rsidR="00800ECB">
              <w:t xml:space="preserve"> mission? What are your instructions</w:t>
            </w:r>
            <w:r>
              <w:t xml:space="preserve"> and how will you track results?) </w:t>
            </w:r>
          </w:p>
        </w:tc>
        <w:tc>
          <w:tcPr>
            <w:tcW w:w="1890" w:type="dxa"/>
          </w:tcPr>
          <w:p w:rsidR="000A5AC0" w:rsidRDefault="000A5AC0" w:rsidP="00D2169D"/>
        </w:tc>
        <w:tc>
          <w:tcPr>
            <w:tcW w:w="1800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18" w:type="dxa"/>
          </w:tcPr>
          <w:p w:rsidR="000A5AC0" w:rsidRDefault="000A5AC0" w:rsidP="00D2169D"/>
        </w:tc>
      </w:tr>
      <w:tr w:rsidR="000A5AC0" w:rsidTr="00C94926">
        <w:tc>
          <w:tcPr>
            <w:tcW w:w="2178" w:type="dxa"/>
          </w:tcPr>
          <w:p w:rsidR="000A5AC0" w:rsidRDefault="000A5AC0" w:rsidP="00D2169D">
            <w:r>
              <w:t>Administration and Logistics Capabilities (what do you have and what is needed for the mission? What are your constraints legally?)</w:t>
            </w:r>
          </w:p>
        </w:tc>
        <w:tc>
          <w:tcPr>
            <w:tcW w:w="1890" w:type="dxa"/>
          </w:tcPr>
          <w:p w:rsidR="000A5AC0" w:rsidRDefault="000A5AC0" w:rsidP="00D2169D"/>
        </w:tc>
        <w:tc>
          <w:tcPr>
            <w:tcW w:w="1800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18" w:type="dxa"/>
          </w:tcPr>
          <w:p w:rsidR="000A5AC0" w:rsidRDefault="000A5AC0" w:rsidP="00D2169D"/>
        </w:tc>
      </w:tr>
      <w:tr w:rsidR="000A5AC0" w:rsidTr="00C94926">
        <w:tc>
          <w:tcPr>
            <w:tcW w:w="2178" w:type="dxa"/>
          </w:tcPr>
          <w:p w:rsidR="000A5AC0" w:rsidRDefault="000A5AC0" w:rsidP="00D2169D">
            <w:r>
              <w:t>Communications and Coordination</w:t>
            </w:r>
          </w:p>
          <w:p w:rsidR="000A5AC0" w:rsidRDefault="000A5AC0" w:rsidP="00D2169D">
            <w:r>
              <w:t xml:space="preserve">  (Plan, who, how, when, etc.) </w:t>
            </w:r>
          </w:p>
        </w:tc>
        <w:tc>
          <w:tcPr>
            <w:tcW w:w="1890" w:type="dxa"/>
          </w:tcPr>
          <w:p w:rsidR="000A5AC0" w:rsidRDefault="000A5AC0" w:rsidP="00D2169D"/>
        </w:tc>
        <w:tc>
          <w:tcPr>
            <w:tcW w:w="1800" w:type="dxa"/>
          </w:tcPr>
          <w:p w:rsidR="000A5AC0" w:rsidRDefault="000A5AC0" w:rsidP="00D2169D"/>
        </w:tc>
        <w:tc>
          <w:tcPr>
            <w:tcW w:w="1890" w:type="dxa"/>
          </w:tcPr>
          <w:p w:rsidR="000A5AC0" w:rsidRDefault="000A5AC0" w:rsidP="00D2169D"/>
        </w:tc>
        <w:tc>
          <w:tcPr>
            <w:tcW w:w="1818" w:type="dxa"/>
          </w:tcPr>
          <w:p w:rsidR="000A5AC0" w:rsidRDefault="000A5AC0" w:rsidP="00D2169D"/>
        </w:tc>
      </w:tr>
    </w:tbl>
    <w:p w:rsidR="00C70731" w:rsidRDefault="00C70731">
      <w:r>
        <w:br w:type="page"/>
      </w:r>
    </w:p>
    <w:p w:rsidR="000A5AC0" w:rsidRPr="00C70731" w:rsidRDefault="00C70731" w:rsidP="00C70731">
      <w:pPr>
        <w:jc w:val="center"/>
        <w:rPr>
          <w:b/>
          <w:sz w:val="28"/>
          <w:szCs w:val="28"/>
        </w:rPr>
      </w:pPr>
      <w:r w:rsidRPr="00C70731">
        <w:rPr>
          <w:b/>
          <w:sz w:val="28"/>
          <w:szCs w:val="28"/>
        </w:rPr>
        <w:lastRenderedPageBreak/>
        <w:t>Reference Material</w:t>
      </w:r>
    </w:p>
    <w:p w:rsidR="00C70731" w:rsidRDefault="00C70731" w:rsidP="00C70731">
      <w:pPr>
        <w:pStyle w:val="ListParagraph"/>
        <w:numPr>
          <w:ilvl w:val="0"/>
          <w:numId w:val="1"/>
        </w:numPr>
        <w:rPr>
          <w:lang w:val="en"/>
        </w:rPr>
      </w:pPr>
      <w:r w:rsidRPr="00C70731">
        <w:rPr>
          <w:lang w:val="en"/>
        </w:rPr>
        <w:t xml:space="preserve">Presidential Policy Directive / PPD-8: National Preparedness:  </w:t>
      </w:r>
      <w:hyperlink r:id="rId10" w:history="1">
        <w:r w:rsidRPr="00C70731">
          <w:rPr>
            <w:rStyle w:val="Hyperlink"/>
            <w:lang w:val="en"/>
          </w:rPr>
          <w:t>http://www.dhs.gov/presidential-policy-directive-8-national-preparedness</w:t>
        </w:r>
      </w:hyperlink>
    </w:p>
    <w:p w:rsidR="00C70731" w:rsidRDefault="00C70731" w:rsidP="00C70731">
      <w:pPr>
        <w:pStyle w:val="Default"/>
      </w:pPr>
    </w:p>
    <w:p w:rsidR="00C70731" w:rsidRPr="00C70731" w:rsidRDefault="00C70731" w:rsidP="00C70731">
      <w:pPr>
        <w:pStyle w:val="ListParagraph"/>
        <w:numPr>
          <w:ilvl w:val="0"/>
          <w:numId w:val="1"/>
        </w:numPr>
        <w:rPr>
          <w:lang w:val="en"/>
        </w:rPr>
      </w:pPr>
      <w:r w:rsidRPr="00C70731">
        <w:t xml:space="preserve"> </w:t>
      </w:r>
      <w:r w:rsidRPr="00C70731">
        <w:rPr>
          <w:bCs/>
          <w:color w:val="000000"/>
          <w:sz w:val="23"/>
          <w:szCs w:val="23"/>
        </w:rPr>
        <w:t xml:space="preserve">PRESIDENTIAL POLICY DIRECTIVE/PPD-21 Critical Infrastructure Security and Resilience: </w:t>
      </w:r>
      <w:hyperlink r:id="rId11" w:history="1">
        <w:r w:rsidRPr="00C70731">
          <w:rPr>
            <w:rStyle w:val="Hyperlink"/>
            <w:bCs/>
            <w:sz w:val="23"/>
            <w:szCs w:val="23"/>
          </w:rPr>
          <w:t>http://www.uscg.mil/hq/cg5/cg544/docs/PPD21CyberEOSummary.pdf</w:t>
        </w:r>
      </w:hyperlink>
    </w:p>
    <w:p w:rsidR="00C70731" w:rsidRDefault="00C70731" w:rsidP="00C70731">
      <w:pPr>
        <w:pStyle w:val="Default"/>
      </w:pPr>
    </w:p>
    <w:p w:rsidR="00C70731" w:rsidRPr="00C70731" w:rsidRDefault="00C70731" w:rsidP="00C70731">
      <w:pPr>
        <w:pStyle w:val="ListParagraph"/>
        <w:numPr>
          <w:ilvl w:val="0"/>
          <w:numId w:val="1"/>
        </w:numPr>
        <w:rPr>
          <w:sz w:val="24"/>
          <w:szCs w:val="24"/>
          <w:lang w:val="en"/>
        </w:rPr>
      </w:pPr>
      <w:r>
        <w:t xml:space="preserve"> </w:t>
      </w:r>
      <w:r w:rsidRPr="00C70731">
        <w:rPr>
          <w:sz w:val="24"/>
          <w:szCs w:val="24"/>
        </w:rPr>
        <w:t>A Whole Community Approach to Emergency Management: Principles, Themes, and Pathways for Action</w:t>
      </w:r>
      <w:r>
        <w:rPr>
          <w:sz w:val="24"/>
          <w:szCs w:val="24"/>
        </w:rPr>
        <w:t xml:space="preserve">:  </w:t>
      </w:r>
      <w:hyperlink r:id="rId12" w:history="1">
        <w:r w:rsidRPr="00134DED">
          <w:rPr>
            <w:rStyle w:val="Hyperlink"/>
            <w:sz w:val="24"/>
            <w:szCs w:val="24"/>
          </w:rPr>
          <w:t>http://www.fema.gov/media-library-data/20130726-1813-25045-0649/whole_community_dec2011__2_.pdf</w:t>
        </w:r>
      </w:hyperlink>
    </w:p>
    <w:p w:rsidR="00C70731" w:rsidRPr="00C70731" w:rsidRDefault="00C70731" w:rsidP="00C70731">
      <w:pPr>
        <w:pStyle w:val="ListParagraph"/>
        <w:rPr>
          <w:sz w:val="24"/>
          <w:szCs w:val="24"/>
          <w:lang w:val="en"/>
        </w:rPr>
      </w:pPr>
    </w:p>
    <w:p w:rsidR="0067436C" w:rsidRPr="0067436C" w:rsidRDefault="00C70731" w:rsidP="0067436C">
      <w:pPr>
        <w:pStyle w:val="ListParagraph"/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lang w:val="en"/>
        </w:rPr>
        <w:t>Enhancing National Preparedness to Space-Weather Events</w:t>
      </w:r>
      <w:r w:rsidR="0067436C">
        <w:rPr>
          <w:lang w:val="en"/>
        </w:rPr>
        <w:t xml:space="preserve">: </w:t>
      </w:r>
      <w:hyperlink r:id="rId13" w:history="1">
        <w:r w:rsidR="0067436C" w:rsidRPr="00134DED">
          <w:rPr>
            <w:rStyle w:val="Hyperlink"/>
            <w:lang w:val="en"/>
          </w:rPr>
          <w:t>https://www.whitehouse.gov/blog/2015/10/28/enhancing-national-preparedness-space-weather-events</w:t>
        </w:r>
      </w:hyperlink>
    </w:p>
    <w:p w:rsidR="0067436C" w:rsidRPr="0067436C" w:rsidRDefault="0067436C" w:rsidP="0067436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sz w:val="24"/>
          <w:szCs w:val="24"/>
          <w:lang w:val="en"/>
        </w:rPr>
      </w:pPr>
      <w:r w:rsidRPr="0067436C">
        <w:rPr>
          <w:rFonts w:ascii="Cambria" w:hAnsi="Cambria" w:cs="Cambria"/>
          <w:color w:val="000000"/>
          <w:sz w:val="24"/>
          <w:szCs w:val="24"/>
        </w:rPr>
        <w:t xml:space="preserve"> NATIONAL SPACE WEATHER STRATEGY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hyperlink r:id="rId14" w:history="1">
        <w:r w:rsidRPr="00134DED">
          <w:rPr>
            <w:rStyle w:val="Hyperlink"/>
            <w:rFonts w:ascii="Cambria" w:hAnsi="Cambria" w:cs="Cambria"/>
            <w:sz w:val="24"/>
            <w:szCs w:val="24"/>
          </w:rPr>
          <w:t>https://www.whitehouse.gov/sites/default/files/microsites/ostp/final_nationalspaceweatherstrategy_20151028.pdf</w:t>
        </w:r>
      </w:hyperlink>
    </w:p>
    <w:p w:rsidR="0067436C" w:rsidRPr="0067436C" w:rsidRDefault="0067436C" w:rsidP="0067436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sz w:val="24"/>
          <w:szCs w:val="24"/>
          <w:lang w:val="en"/>
        </w:rPr>
      </w:pPr>
      <w:r w:rsidRPr="0067436C">
        <w:rPr>
          <w:rFonts w:ascii="Cambria" w:hAnsi="Cambria" w:cs="Cambria"/>
          <w:color w:val="000000"/>
          <w:sz w:val="24"/>
          <w:szCs w:val="24"/>
        </w:rPr>
        <w:t xml:space="preserve"> NATIONAL SPACE WEATHER ACTION PLAN</w:t>
      </w:r>
      <w:r>
        <w:rPr>
          <w:rFonts w:ascii="Cambria" w:hAnsi="Cambria" w:cs="Cambria"/>
          <w:color w:val="000000"/>
          <w:sz w:val="24"/>
          <w:szCs w:val="24"/>
        </w:rPr>
        <w:t xml:space="preserve">:  </w:t>
      </w:r>
      <w:hyperlink r:id="rId15" w:history="1">
        <w:r w:rsidRPr="00134DED">
          <w:rPr>
            <w:rStyle w:val="Hyperlink"/>
            <w:rFonts w:ascii="Cambria" w:hAnsi="Cambria" w:cs="Cambria"/>
            <w:sz w:val="24"/>
            <w:szCs w:val="24"/>
          </w:rPr>
          <w:t>https://www.whitehouse.gov/sites/default/files/microsites/ostp/final_nationalspaceweatheractionplan_20151028.pdf</w:t>
        </w:r>
      </w:hyperlink>
    </w:p>
    <w:p w:rsidR="0067436C" w:rsidRPr="0067436C" w:rsidRDefault="0067436C" w:rsidP="0067436C">
      <w:pPr>
        <w:pStyle w:val="ListParagraph"/>
        <w:rPr>
          <w:sz w:val="24"/>
          <w:szCs w:val="24"/>
          <w:lang w:val="en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6C">
        <w:rPr>
          <w:sz w:val="24"/>
          <w:szCs w:val="24"/>
        </w:rPr>
        <w:t xml:space="preserve">Electromagnetic Pulse Commission: Report of the Commission to Assess the Threat to the United States from Electromagnetic Pulse (EMP) Attack. Critical National Infrastructures, 2008. </w:t>
      </w:r>
      <w:hyperlink r:id="rId16" w:history="1">
        <w:r w:rsidRPr="0067436C">
          <w:rPr>
            <w:rStyle w:val="Hyperlink"/>
            <w:sz w:val="24"/>
            <w:szCs w:val="24"/>
          </w:rPr>
          <w:t>http://www.empcommission.org/docs/A2473-EMP_Commission-7MB.pdf</w:t>
        </w:r>
      </w:hyperlink>
    </w:p>
    <w:p w:rsidR="0067436C" w:rsidRPr="0067436C" w:rsidRDefault="0067436C" w:rsidP="0067436C">
      <w:pPr>
        <w:pStyle w:val="ListParagraph"/>
        <w:rPr>
          <w:sz w:val="24"/>
          <w:szCs w:val="24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6C">
        <w:rPr>
          <w:sz w:val="24"/>
          <w:szCs w:val="24"/>
        </w:rPr>
        <w:t>Electromagnetic Pulses - Six Common Misconceptions. Baker G.  Domestic Preparedness, 2014.</w:t>
      </w:r>
    </w:p>
    <w:p w:rsidR="0067436C" w:rsidRPr="0067436C" w:rsidRDefault="006B6DAC" w:rsidP="0067436C">
      <w:pPr>
        <w:pStyle w:val="ListParagraph"/>
        <w:rPr>
          <w:sz w:val="24"/>
          <w:szCs w:val="24"/>
        </w:rPr>
      </w:pPr>
      <w:hyperlink r:id="rId17" w:history="1">
        <w:r w:rsidR="0067436C" w:rsidRPr="0067436C">
          <w:rPr>
            <w:rStyle w:val="Hyperlink"/>
            <w:sz w:val="24"/>
            <w:szCs w:val="24"/>
          </w:rPr>
          <w:t>http://www.domesticpreparedness.com/Commentary/Viewpoint/Electromagnetic_Pulses_-_Six_Common_Misconceptions/</w:t>
        </w:r>
      </w:hyperlink>
    </w:p>
    <w:p w:rsidR="0067436C" w:rsidRPr="0067436C" w:rsidRDefault="0067436C" w:rsidP="0067436C">
      <w:pPr>
        <w:pStyle w:val="ListParagraph"/>
        <w:rPr>
          <w:sz w:val="24"/>
          <w:szCs w:val="24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6C">
        <w:rPr>
          <w:sz w:val="24"/>
          <w:szCs w:val="24"/>
        </w:rPr>
        <w:t xml:space="preserve">Interdependence of the Electricity Generation System and the Natural Gas System and Implications for Energy Security.  Judson N. MIT Lincoln Laboratory, 2013. </w:t>
      </w:r>
      <w:hyperlink r:id="rId18" w:history="1">
        <w:r w:rsidRPr="0067436C">
          <w:rPr>
            <w:rStyle w:val="Hyperlink"/>
            <w:sz w:val="24"/>
            <w:szCs w:val="24"/>
          </w:rPr>
          <w:t>https://www.serdp-estcp.org/content/download/19069/.../TR-1173.pdf</w:t>
        </w:r>
      </w:hyperlink>
    </w:p>
    <w:p w:rsidR="0067436C" w:rsidRPr="0067436C" w:rsidRDefault="0067436C" w:rsidP="0067436C">
      <w:pPr>
        <w:pStyle w:val="ListParagraph"/>
        <w:rPr>
          <w:sz w:val="24"/>
          <w:szCs w:val="24"/>
        </w:rPr>
      </w:pPr>
    </w:p>
    <w:p w:rsidR="0067436C" w:rsidRPr="0067436C" w:rsidRDefault="0067436C" w:rsidP="0067436C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67436C">
        <w:rPr>
          <w:sz w:val="24"/>
          <w:szCs w:val="24"/>
        </w:rPr>
        <w:t xml:space="preserve">Physical Security of the US Power Grid: High-Voltage Transformer Substations. </w:t>
      </w:r>
      <w:proofErr w:type="spellStart"/>
      <w:r w:rsidRPr="0067436C">
        <w:rPr>
          <w:sz w:val="24"/>
          <w:szCs w:val="24"/>
        </w:rPr>
        <w:t>Parformak</w:t>
      </w:r>
      <w:proofErr w:type="spellEnd"/>
      <w:r w:rsidRPr="0067436C">
        <w:rPr>
          <w:sz w:val="24"/>
          <w:szCs w:val="24"/>
        </w:rPr>
        <w:t xml:space="preserve"> P. Congressional Research Service, 2014. </w:t>
      </w:r>
      <w:hyperlink r:id="rId19" w:history="1">
        <w:r w:rsidRPr="0067436C">
          <w:rPr>
            <w:rStyle w:val="Hyperlink"/>
            <w:sz w:val="24"/>
            <w:szCs w:val="24"/>
          </w:rPr>
          <w:t>http://fas.org/sgp/crs/homesec/R43604.pdf</w:t>
        </w:r>
      </w:hyperlink>
    </w:p>
    <w:p w:rsidR="0067436C" w:rsidRPr="0067436C" w:rsidRDefault="0067436C" w:rsidP="0067436C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:rsidR="0067436C" w:rsidRPr="00A33CE3" w:rsidRDefault="0067436C" w:rsidP="0067436C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A832A3">
        <w:rPr>
          <w:sz w:val="24"/>
          <w:szCs w:val="24"/>
        </w:rPr>
        <w:t xml:space="preserve">The US Government Thinks China Could Take Down the Power Grid </w:t>
      </w:r>
      <w:hyperlink r:id="rId20" w:history="1">
        <w:r w:rsidRPr="00A832A3">
          <w:rPr>
            <w:rStyle w:val="Hyperlink"/>
            <w:sz w:val="24"/>
            <w:szCs w:val="24"/>
          </w:rPr>
          <w:t>http://www.cnn.com/2014/11/20/politics/nsa-china-power-grid/index.html?hpt=hp_t2</w:t>
        </w:r>
      </w:hyperlink>
    </w:p>
    <w:p w:rsidR="00A33CE3" w:rsidRPr="00A33CE3" w:rsidRDefault="00A33CE3" w:rsidP="00A33CE3">
      <w:pPr>
        <w:pStyle w:val="ListParagraph"/>
        <w:rPr>
          <w:sz w:val="24"/>
          <w:szCs w:val="24"/>
        </w:rPr>
      </w:pPr>
    </w:p>
    <w:p w:rsidR="00A33CE3" w:rsidRDefault="00A33CE3" w:rsidP="00A33C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Heritage Foundation:  Think Ahead</w:t>
      </w:r>
      <w:r w:rsidRPr="00A33CE3">
        <w:t xml:space="preserve"> </w:t>
      </w:r>
      <w:r>
        <w:t xml:space="preserve">Preparing for the Threat to Our Wired World </w:t>
      </w:r>
      <w:hyperlink r:id="rId21" w:history="1">
        <w:r w:rsidRPr="00134DED">
          <w:rPr>
            <w:rStyle w:val="Hyperlink"/>
            <w:sz w:val="24"/>
            <w:szCs w:val="24"/>
          </w:rPr>
          <w:t>http://www.heritage.org/thinkahead/</w:t>
        </w:r>
      </w:hyperlink>
    </w:p>
    <w:p w:rsidR="00A33CE3" w:rsidRPr="00A33CE3" w:rsidRDefault="00A33CE3" w:rsidP="00A33CE3">
      <w:pPr>
        <w:pStyle w:val="ListParagraph"/>
        <w:rPr>
          <w:sz w:val="24"/>
          <w:szCs w:val="24"/>
        </w:rPr>
      </w:pPr>
    </w:p>
    <w:p w:rsidR="00A33CE3" w:rsidRDefault="00A33CE3" w:rsidP="00A33C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Preparing for a Disaster:  </w:t>
      </w:r>
      <w:hyperlink r:id="rId22" w:history="1">
        <w:r w:rsidRPr="00134DED">
          <w:rPr>
            <w:rStyle w:val="Hyperlink"/>
            <w:sz w:val="24"/>
            <w:szCs w:val="24"/>
          </w:rPr>
          <w:t>http://survivalblog.com/</w:t>
        </w:r>
      </w:hyperlink>
      <w:r>
        <w:rPr>
          <w:sz w:val="24"/>
          <w:szCs w:val="24"/>
        </w:rPr>
        <w:t xml:space="preserve">;  </w:t>
      </w:r>
      <w:hyperlink r:id="rId23" w:history="1">
        <w:r w:rsidRPr="00134DED">
          <w:rPr>
            <w:rStyle w:val="Hyperlink"/>
            <w:sz w:val="24"/>
            <w:szCs w:val="24"/>
          </w:rPr>
          <w:t>http://www.ready.gov/</w:t>
        </w:r>
      </w:hyperlink>
      <w:r>
        <w:rPr>
          <w:sz w:val="24"/>
          <w:szCs w:val="24"/>
        </w:rPr>
        <w:t xml:space="preserve">;  </w:t>
      </w:r>
      <w:hyperlink r:id="rId24" w:history="1">
        <w:r w:rsidRPr="00134DED">
          <w:rPr>
            <w:rStyle w:val="Hyperlink"/>
            <w:sz w:val="24"/>
            <w:szCs w:val="24"/>
          </w:rPr>
          <w:t>http://www.redcross.org/prepare/disaster</w:t>
        </w:r>
      </w:hyperlink>
    </w:p>
    <w:p w:rsidR="00B62A66" w:rsidRPr="00B62A66" w:rsidRDefault="00B62A66" w:rsidP="00B62A66">
      <w:pPr>
        <w:pStyle w:val="ListParagraph"/>
        <w:rPr>
          <w:sz w:val="24"/>
          <w:szCs w:val="24"/>
        </w:rPr>
      </w:pPr>
    </w:p>
    <w:p w:rsidR="00B62A66" w:rsidRDefault="00B62A66" w:rsidP="00A33C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Forstchen</w:t>
      </w:r>
      <w:proofErr w:type="spellEnd"/>
      <w:r>
        <w:rPr>
          <w:sz w:val="24"/>
          <w:szCs w:val="24"/>
        </w:rPr>
        <w:t xml:space="preserve">: 2009: </w:t>
      </w:r>
      <w:r w:rsidRPr="002A01D9">
        <w:rPr>
          <w:sz w:val="24"/>
          <w:szCs w:val="24"/>
          <w:u w:val="single"/>
        </w:rPr>
        <w:t>Once Second After</w:t>
      </w:r>
      <w:r>
        <w:rPr>
          <w:sz w:val="24"/>
          <w:szCs w:val="24"/>
        </w:rPr>
        <w:t xml:space="preserve"> </w:t>
      </w:r>
    </w:p>
    <w:p w:rsidR="00B62A66" w:rsidRPr="00B62A66" w:rsidRDefault="00B62A66" w:rsidP="00B62A66">
      <w:pPr>
        <w:pStyle w:val="ListParagraph"/>
        <w:rPr>
          <w:sz w:val="24"/>
          <w:szCs w:val="24"/>
        </w:rPr>
      </w:pPr>
    </w:p>
    <w:p w:rsidR="00B62A66" w:rsidRDefault="00B62A66" w:rsidP="00A33C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Ted </w:t>
      </w:r>
      <w:proofErr w:type="spellStart"/>
      <w:r>
        <w:rPr>
          <w:sz w:val="24"/>
          <w:szCs w:val="24"/>
        </w:rPr>
        <w:t>Kopple</w:t>
      </w:r>
      <w:proofErr w:type="spellEnd"/>
      <w:r>
        <w:rPr>
          <w:sz w:val="24"/>
          <w:szCs w:val="24"/>
        </w:rPr>
        <w:t xml:space="preserve">:  2015:  </w:t>
      </w:r>
      <w:r w:rsidRPr="002A01D9">
        <w:rPr>
          <w:sz w:val="24"/>
          <w:szCs w:val="24"/>
          <w:u w:val="single"/>
        </w:rPr>
        <w:t xml:space="preserve">Lights Out – A </w:t>
      </w:r>
      <w:proofErr w:type="spellStart"/>
      <w:r w:rsidRPr="002A01D9">
        <w:rPr>
          <w:sz w:val="24"/>
          <w:szCs w:val="24"/>
          <w:u w:val="single"/>
        </w:rPr>
        <w:t>Cyberattack</w:t>
      </w:r>
      <w:proofErr w:type="spellEnd"/>
      <w:r w:rsidRPr="002A01D9">
        <w:rPr>
          <w:sz w:val="24"/>
          <w:szCs w:val="24"/>
          <w:u w:val="single"/>
        </w:rPr>
        <w:t xml:space="preserve"> – A Nat</w:t>
      </w:r>
      <w:r w:rsidR="002A01D9">
        <w:rPr>
          <w:sz w:val="24"/>
          <w:szCs w:val="24"/>
          <w:u w:val="single"/>
        </w:rPr>
        <w:t>ion Unprepared – Surviving the A</w:t>
      </w:r>
      <w:r w:rsidRPr="002A01D9">
        <w:rPr>
          <w:sz w:val="24"/>
          <w:szCs w:val="24"/>
          <w:u w:val="single"/>
        </w:rPr>
        <w:t>ftermath</w:t>
      </w:r>
      <w:r>
        <w:rPr>
          <w:sz w:val="24"/>
          <w:szCs w:val="24"/>
        </w:rPr>
        <w:t xml:space="preserve"> </w:t>
      </w:r>
    </w:p>
    <w:p w:rsidR="009E5065" w:rsidRPr="009E5065" w:rsidRDefault="009E5065" w:rsidP="009E5065">
      <w:pPr>
        <w:pStyle w:val="ListParagraph"/>
        <w:rPr>
          <w:sz w:val="24"/>
          <w:szCs w:val="24"/>
        </w:rPr>
      </w:pPr>
    </w:p>
    <w:p w:rsidR="009E5065" w:rsidRDefault="009E5065" w:rsidP="00A33C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1F497D"/>
        </w:rPr>
        <w:t xml:space="preserve">NERC Severe Impact Resilience Task Force report from 2012 (link: </w:t>
      </w:r>
      <w:hyperlink r:id="rId25" w:history="1">
        <w:r>
          <w:rPr>
            <w:rStyle w:val="Hyperlink"/>
          </w:rPr>
          <w:t>http://www.nerc.com/pa/ci/news/cip/sirtf_final_may_9_2012-bd_accptd.pdf</w:t>
        </w:r>
      </w:hyperlink>
      <w:r>
        <w:rPr>
          <w:color w:val="1F497D"/>
        </w:rPr>
        <w:t>)</w:t>
      </w:r>
    </w:p>
    <w:p w:rsidR="00A33CE3" w:rsidRPr="00A33CE3" w:rsidRDefault="00A33CE3" w:rsidP="00A33CE3">
      <w:pPr>
        <w:pStyle w:val="ListParagraph"/>
        <w:rPr>
          <w:sz w:val="24"/>
          <w:szCs w:val="24"/>
        </w:rPr>
      </w:pPr>
    </w:p>
    <w:p w:rsidR="00A33CE3" w:rsidRPr="00A832A3" w:rsidRDefault="00A33CE3" w:rsidP="00A33CE3">
      <w:pPr>
        <w:pStyle w:val="ListParagraph"/>
        <w:rPr>
          <w:sz w:val="24"/>
          <w:szCs w:val="24"/>
        </w:rPr>
      </w:pPr>
    </w:p>
    <w:p w:rsidR="0067436C" w:rsidRPr="0067436C" w:rsidRDefault="0067436C" w:rsidP="0067436C">
      <w:pPr>
        <w:pStyle w:val="ListParagraph"/>
        <w:rPr>
          <w:sz w:val="24"/>
          <w:szCs w:val="24"/>
          <w:lang w:val="en"/>
        </w:rPr>
      </w:pPr>
    </w:p>
    <w:p w:rsidR="00C70731" w:rsidRDefault="00C70731" w:rsidP="00B921A7"/>
    <w:p w:rsidR="00B921A7" w:rsidRDefault="00B921A7"/>
    <w:sectPr w:rsidR="00B9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AC" w:rsidRDefault="006B6DAC" w:rsidP="00C94926">
      <w:pPr>
        <w:spacing w:after="0" w:line="240" w:lineRule="auto"/>
      </w:pPr>
      <w:r>
        <w:separator/>
      </w:r>
    </w:p>
  </w:endnote>
  <w:endnote w:type="continuationSeparator" w:id="0">
    <w:p w:rsidR="006B6DAC" w:rsidRDefault="006B6DAC" w:rsidP="00C9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AC" w:rsidRDefault="006B6DAC" w:rsidP="00C94926">
      <w:pPr>
        <w:spacing w:after="0" w:line="240" w:lineRule="auto"/>
      </w:pPr>
      <w:r>
        <w:separator/>
      </w:r>
    </w:p>
  </w:footnote>
  <w:footnote w:type="continuationSeparator" w:id="0">
    <w:p w:rsidR="006B6DAC" w:rsidRDefault="006B6DAC" w:rsidP="00C94926">
      <w:pPr>
        <w:spacing w:after="0" w:line="240" w:lineRule="auto"/>
      </w:pPr>
      <w:r>
        <w:continuationSeparator/>
      </w:r>
    </w:p>
  </w:footnote>
  <w:footnote w:id="1">
    <w:p w:rsidR="00C94926" w:rsidRDefault="00C949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A3E12" w:rsidRPr="00EA3E12">
        <w:rPr>
          <w:rFonts w:ascii="Times New Roman" w:hAnsi="Times New Roman" w:cs="Times New Roman"/>
          <w:sz w:val="18"/>
          <w:szCs w:val="18"/>
        </w:rPr>
        <w:t xml:space="preserve">Restoring the commercial grid from the still functioning regions may not be possible or could take weeks or months. </w:t>
      </w:r>
      <w:r w:rsidR="00AC51EE" w:rsidRPr="00EA3E1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--</w:t>
      </w:r>
      <w:r w:rsidR="00AC51EE" w:rsidRPr="00EA3E12">
        <w:rPr>
          <w:rFonts w:ascii="Times New Roman" w:eastAsia="Times New Roman" w:hAnsi="Times New Roman" w:cs="Times New Roman"/>
          <w:sz w:val="18"/>
          <w:szCs w:val="18"/>
        </w:rPr>
        <w:t xml:space="preserve"> Island-mode Enhancement Strategies and Methodologies for Defense Critical Infrastructure: Defense Threat Reduction Agency (D</w:t>
      </w:r>
      <w:r w:rsidR="00EA3E12" w:rsidRPr="00EA3E12">
        <w:rPr>
          <w:rFonts w:ascii="Times New Roman" w:eastAsia="Times New Roman" w:hAnsi="Times New Roman" w:cs="Times New Roman"/>
          <w:sz w:val="18"/>
          <w:szCs w:val="18"/>
        </w:rPr>
        <w:t xml:space="preserve">TRA) 2015.2 - Topic DTRA152-006; </w:t>
      </w:r>
      <w:r w:rsidR="00EA3E12" w:rsidRPr="00EA3E12">
        <w:rPr>
          <w:rFonts w:ascii="Times New Roman" w:hAnsi="Times New Roman" w:cs="Times New Roman"/>
          <w:sz w:val="18"/>
          <w:szCs w:val="18"/>
        </w:rPr>
        <w:t xml:space="preserve">Worst case is instructive for planning – National Space Weather Strategy: </w:t>
      </w:r>
      <w:hyperlink r:id="rId1" w:history="1">
        <w:r w:rsidR="00EA3E12" w:rsidRPr="00EA3E12">
          <w:rPr>
            <w:rStyle w:val="Hyperlink"/>
            <w:rFonts w:ascii="Times New Roman" w:hAnsi="Times New Roman" w:cs="Times New Roman"/>
            <w:sz w:val="18"/>
            <w:szCs w:val="18"/>
          </w:rPr>
          <w:t>https://www.whitehouse.gov/sites/default/files/microsites/ostp/final_nationalspaceweatherstrategy_20151028.pdf</w:t>
        </w:r>
      </w:hyperlink>
      <w:r w:rsidR="00EA3E12" w:rsidRPr="00EA3E12">
        <w:rPr>
          <w:rStyle w:val="Hyperlink"/>
          <w:rFonts w:ascii="Times New Roman" w:hAnsi="Times New Roman" w:cs="Times New Roman"/>
          <w:sz w:val="18"/>
          <w:szCs w:val="18"/>
          <w:u w:val="none"/>
        </w:rPr>
        <w:t xml:space="preserve">;  </w:t>
      </w:r>
      <w:r w:rsidRPr="00EA3E12">
        <w:rPr>
          <w:rStyle w:val="Hyperlink"/>
          <w:rFonts w:ascii="Times New Roman" w:hAnsi="Times New Roman" w:cs="Times New Roman"/>
          <w:color w:val="auto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624C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>
    <w:nsid w:val="28DD692C"/>
    <w:multiLevelType w:val="hybridMultilevel"/>
    <w:tmpl w:val="875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F0032"/>
    <w:multiLevelType w:val="hybridMultilevel"/>
    <w:tmpl w:val="875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28E2"/>
    <w:multiLevelType w:val="hybridMultilevel"/>
    <w:tmpl w:val="CB7E1B9E"/>
    <w:lvl w:ilvl="0" w:tplc="9D9AA12E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A7"/>
    <w:rsid w:val="000146C0"/>
    <w:rsid w:val="000510D4"/>
    <w:rsid w:val="00052A65"/>
    <w:rsid w:val="000A5AC0"/>
    <w:rsid w:val="00100B16"/>
    <w:rsid w:val="001C06A7"/>
    <w:rsid w:val="002A01D9"/>
    <w:rsid w:val="002D0EBA"/>
    <w:rsid w:val="002D15DA"/>
    <w:rsid w:val="002F1D6A"/>
    <w:rsid w:val="00342871"/>
    <w:rsid w:val="003E754E"/>
    <w:rsid w:val="00477B20"/>
    <w:rsid w:val="005B3C26"/>
    <w:rsid w:val="005C2543"/>
    <w:rsid w:val="0067436C"/>
    <w:rsid w:val="006B6DAC"/>
    <w:rsid w:val="00705489"/>
    <w:rsid w:val="00777B09"/>
    <w:rsid w:val="007B516A"/>
    <w:rsid w:val="00800ECB"/>
    <w:rsid w:val="00854087"/>
    <w:rsid w:val="008C2C3B"/>
    <w:rsid w:val="008D48D9"/>
    <w:rsid w:val="00906334"/>
    <w:rsid w:val="009318FF"/>
    <w:rsid w:val="009710BF"/>
    <w:rsid w:val="009770C1"/>
    <w:rsid w:val="009A347F"/>
    <w:rsid w:val="009E5065"/>
    <w:rsid w:val="00A33CE3"/>
    <w:rsid w:val="00A832A3"/>
    <w:rsid w:val="00AC51EE"/>
    <w:rsid w:val="00AD64BA"/>
    <w:rsid w:val="00AF796C"/>
    <w:rsid w:val="00B20C0E"/>
    <w:rsid w:val="00B62A66"/>
    <w:rsid w:val="00B75B76"/>
    <w:rsid w:val="00B921A7"/>
    <w:rsid w:val="00BF2040"/>
    <w:rsid w:val="00C105D3"/>
    <w:rsid w:val="00C13A2D"/>
    <w:rsid w:val="00C70731"/>
    <w:rsid w:val="00C94926"/>
    <w:rsid w:val="00CE54D9"/>
    <w:rsid w:val="00D2779A"/>
    <w:rsid w:val="00D30F7D"/>
    <w:rsid w:val="00DB24C6"/>
    <w:rsid w:val="00DE69B2"/>
    <w:rsid w:val="00E30E24"/>
    <w:rsid w:val="00E444F9"/>
    <w:rsid w:val="00E56871"/>
    <w:rsid w:val="00E91F38"/>
    <w:rsid w:val="00EA3E12"/>
    <w:rsid w:val="00ED6409"/>
    <w:rsid w:val="00F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7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731"/>
    <w:pPr>
      <w:ind w:left="720"/>
      <w:contextualSpacing/>
    </w:pPr>
  </w:style>
  <w:style w:type="paragraph" w:customStyle="1" w:styleId="Default">
    <w:name w:val="Default"/>
    <w:rsid w:val="00C70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7436C"/>
    <w:pPr>
      <w:tabs>
        <w:tab w:val="right" w:leader="dot" w:pos="9360"/>
      </w:tabs>
      <w:spacing w:before="40" w:after="40" w:line="240" w:lineRule="auto"/>
      <w:ind w:left="634" w:hanging="389"/>
    </w:pPr>
    <w:rPr>
      <w:rFonts w:ascii="Times New Roman" w:eastAsia="Times New Roman" w:hAnsi="Times New Roman" w:cs="Times New Roman"/>
      <w:noProof/>
      <w:color w:val="000000"/>
    </w:rPr>
  </w:style>
  <w:style w:type="paragraph" w:styleId="ListBullet">
    <w:name w:val="List Bullet"/>
    <w:basedOn w:val="Normal"/>
    <w:rsid w:val="0067436C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926"/>
    <w:rPr>
      <w:vertAlign w:val="superscript"/>
    </w:rPr>
  </w:style>
  <w:style w:type="character" w:customStyle="1" w:styleId="apple-converted-space">
    <w:name w:val="apple-converted-space"/>
    <w:basedOn w:val="DefaultParagraphFont"/>
    <w:rsid w:val="008C2C3B"/>
  </w:style>
  <w:style w:type="character" w:styleId="CommentReference">
    <w:name w:val="annotation reference"/>
    <w:basedOn w:val="DefaultParagraphFont"/>
    <w:uiPriority w:val="99"/>
    <w:semiHidden/>
    <w:unhideWhenUsed/>
    <w:rsid w:val="008C2C3B"/>
  </w:style>
  <w:style w:type="paragraph" w:styleId="BalloonText">
    <w:name w:val="Balloon Text"/>
    <w:basedOn w:val="Normal"/>
    <w:link w:val="BalloonTextChar"/>
    <w:uiPriority w:val="99"/>
    <w:semiHidden/>
    <w:unhideWhenUsed/>
    <w:rsid w:val="00D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7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731"/>
    <w:pPr>
      <w:ind w:left="720"/>
      <w:contextualSpacing/>
    </w:pPr>
  </w:style>
  <w:style w:type="paragraph" w:customStyle="1" w:styleId="Default">
    <w:name w:val="Default"/>
    <w:rsid w:val="00C70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7436C"/>
    <w:pPr>
      <w:tabs>
        <w:tab w:val="right" w:leader="dot" w:pos="9360"/>
      </w:tabs>
      <w:spacing w:before="40" w:after="40" w:line="240" w:lineRule="auto"/>
      <w:ind w:left="634" w:hanging="389"/>
    </w:pPr>
    <w:rPr>
      <w:rFonts w:ascii="Times New Roman" w:eastAsia="Times New Roman" w:hAnsi="Times New Roman" w:cs="Times New Roman"/>
      <w:noProof/>
      <w:color w:val="000000"/>
    </w:rPr>
  </w:style>
  <w:style w:type="paragraph" w:styleId="ListBullet">
    <w:name w:val="List Bullet"/>
    <w:basedOn w:val="Normal"/>
    <w:rsid w:val="0067436C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926"/>
    <w:rPr>
      <w:vertAlign w:val="superscript"/>
    </w:rPr>
  </w:style>
  <w:style w:type="character" w:customStyle="1" w:styleId="apple-converted-space">
    <w:name w:val="apple-converted-space"/>
    <w:basedOn w:val="DefaultParagraphFont"/>
    <w:rsid w:val="008C2C3B"/>
  </w:style>
  <w:style w:type="character" w:styleId="CommentReference">
    <w:name w:val="annotation reference"/>
    <w:basedOn w:val="DefaultParagraphFont"/>
    <w:uiPriority w:val="99"/>
    <w:semiHidden/>
    <w:unhideWhenUsed/>
    <w:rsid w:val="008C2C3B"/>
  </w:style>
  <w:style w:type="paragraph" w:styleId="BalloonText">
    <w:name w:val="Balloon Text"/>
    <w:basedOn w:val="Normal"/>
    <w:link w:val="BalloonTextChar"/>
    <w:uiPriority w:val="99"/>
    <w:semiHidden/>
    <w:unhideWhenUsed/>
    <w:rsid w:val="00D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hitehouse.gov/blog/2015/10/28/enhancing-national-preparedness-space-weather-events" TargetMode="External"/><Relationship Id="rId18" Type="http://schemas.openxmlformats.org/officeDocument/2006/relationships/hyperlink" Target="https://www.serdp-estcp.org/content/download/19069/.../TR-1173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heritage.org/thinkahea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ema.gov/media-library-data/20130726-1813-25045-0649/whole_community_dec2011__2_.pdf" TargetMode="External"/><Relationship Id="rId17" Type="http://schemas.openxmlformats.org/officeDocument/2006/relationships/hyperlink" Target="http://www.domesticpreparedness.com/Commentary/Viewpoint/Electromagnetic_Pulses_-_Six_Common_Misconceptions/" TargetMode="External"/><Relationship Id="rId25" Type="http://schemas.openxmlformats.org/officeDocument/2006/relationships/hyperlink" Target="http://www.nerc.com/pa/ci/news/cip/sirtf_final_may_9_2012-bd_accpt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pcommission.org/docs/A2473-EMP_Commission-7MB.pdf" TargetMode="External"/><Relationship Id="rId20" Type="http://schemas.openxmlformats.org/officeDocument/2006/relationships/hyperlink" Target="http://www.cnn.com/2014/11/20/politics/nsa-china-power-grid/index.html?hpt=hp_t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cg.mil/hq/cg5/cg544/docs/PPD21CyberEOSummary.pdf" TargetMode="External"/><Relationship Id="rId24" Type="http://schemas.openxmlformats.org/officeDocument/2006/relationships/hyperlink" Target="http://www.redcross.org/prepare/disast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hitehouse.gov/sites/default/files/microsites/ostp/final_nationalspaceweatheractionplan_20151028.pdf" TargetMode="External"/><Relationship Id="rId23" Type="http://schemas.openxmlformats.org/officeDocument/2006/relationships/hyperlink" Target="http://www.ready.gov/" TargetMode="External"/><Relationship Id="rId10" Type="http://schemas.openxmlformats.org/officeDocument/2006/relationships/hyperlink" Target="http://www.dhs.gov/presidential-policy-directive-8-national-preparedness" TargetMode="External"/><Relationship Id="rId19" Type="http://schemas.openxmlformats.org/officeDocument/2006/relationships/hyperlink" Target="http://fas.org/sgp/crs/homesec/R436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zon.com/gp/aw/s/ref=mh_283155_is_s_stripbooks?ie=UTF8&amp;n=283155&amp;k=Triple+Threat+Grid+Exercise" TargetMode="External"/><Relationship Id="rId14" Type="http://schemas.openxmlformats.org/officeDocument/2006/relationships/hyperlink" Target="https://www.whitehouse.gov/sites/default/files/microsites/ostp/final_nationalspaceweatherstrategy_20151028.pdf" TargetMode="External"/><Relationship Id="rId22" Type="http://schemas.openxmlformats.org/officeDocument/2006/relationships/hyperlink" Target="http://survivalblog.com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itehouse.gov/sites/default/files/microsites/ostp/final_nationalspaceweatherstrategy_201510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89FB-06CB-4D26-BA5C-F2218B8B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Lasky, Mary D.</dc:creator>
  <cp:lastModifiedBy>Lasky, Mary D.</cp:lastModifiedBy>
  <cp:revision>2</cp:revision>
  <cp:lastPrinted>2015-11-22T14:21:00Z</cp:lastPrinted>
  <dcterms:created xsi:type="dcterms:W3CDTF">2015-11-23T19:40:00Z</dcterms:created>
  <dcterms:modified xsi:type="dcterms:W3CDTF">2015-11-23T19:40:00Z</dcterms:modified>
</cp:coreProperties>
</file>